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3c11d812a5f0d0f00996fa35eec60597ef49a"/>
    <w:p>
      <w:pPr>
        <w:pStyle w:val="Heading3"/>
      </w:pPr>
      <w:r>
        <w:t xml:space="preserve">Новый ночной маршрут в Царицыно и Бирюлево 14-15 ноября</w:t>
      </w:r>
    </w:p>
    <w:p>
      <w:pPr>
        <w:pStyle w:val="FirstParagraph"/>
      </w:pPr>
      <w:r>
        <w:t xml:space="preserve">13.11.2020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http://tsaricino.mos.ru/transport/the-development-of-surface-city-passenger-transport/detail/9422839.html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ransport/the-development-of-surface-city-passenger-transport/detail/9422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ransport/the-development-of-surface-city-passenger-transport/detail/9422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2023-09-26T17:39:25Z</dcterms:created>
  <dcterms:modified xsi:type="dcterms:W3CDTF">2023-09-26T17:39:25Z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