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79eb2b7f9db8d0b313a9c3510771dd219d890"/>
    <w:p>
      <w:pPr>
        <w:pStyle w:val="Heading3"/>
      </w:pPr>
      <w:r>
        <w:t xml:space="preserve">Вручение подарков жителям и защитникам блокадного Ленинграда</w:t>
      </w:r>
    </w:p>
    <w:p>
      <w:pPr>
        <w:pStyle w:val="FirstParagraph"/>
      </w:pPr>
      <w:r>
        <w:t xml:space="preserve">10.02.2014</w:t>
      </w:r>
    </w:p>
    <w:p>
      <w:pPr>
        <w:pStyle w:val="BodyText"/>
      </w:pPr>
      <w:r>
        <w:t xml:space="preserve">В честь празднования 70-летней годовщины освобождения блокадного Ленинграда 25 января 2014 управой района Царицыно было организовано вручение памятные подарки </w:t>
      </w:r>
    </w:p>
    <w:p>
      <w:pPr>
        <w:pStyle w:val="BodyText"/>
      </w:pPr>
      <w:r>
        <w:t xml:space="preserve">жителям и защитникам блокадного Ленинграда, проживающим на территории района.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N24m1z63i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http://tsaricino.mos.ru/towards-the-73th-anniversary-of-the-victory-in-the-great-patriotic-voeny-1941-1945/detail/946787.html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946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946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2025-08-03T06:56:17Z</dcterms:created>
  <dcterms:modified xsi:type="dcterms:W3CDTF">2025-08-03T06:56:17Z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