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мемориально-патронатная-акция-в-районе"/>
    <w:p>
      <w:pPr>
        <w:pStyle w:val="Heading3"/>
      </w:pPr>
      <w:r>
        <w:t xml:space="preserve">Мемориально-патронатная акция в районе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t xml:space="preserve">29 ноября 2019 года прошла районная мемориально-патронатная акция по благоустройству воинских захоронений, памятников, мемориальных досок и памятных знаков,</w:t>
      </w:r>
      <w:r>
        <w:br/>
      </w:r>
      <w:r>
        <w:t xml:space="preserve">посвященной 78-й годовщине битвы под Москвой.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drawing>
          <wp:inline>
            <wp:extent cx="5334000" cy="33427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п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2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605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п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0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4648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п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1138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п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1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http://tsaricino.mos.ru/towards-the-73th-anniversary-of-the-victory-in-the-great-patriotic-voeny-1941-1945/detail/8640541.html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towards-the-73th-anniversary-of-the-victory-in-the-great-patriotic-voeny-1941-1945/detail/8640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towards-the-73th-anniversary-of-the-victory-in-the-great-patriotic-voeny-1941-1945/detail/8640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2025-05-07T14:07:54Z</dcterms:created>
  <dcterms:modified xsi:type="dcterms:W3CDTF">2025-05-07T14:07:54Z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