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786bb354dcb48efade45756dd53b5d797ba8e"/>
    <w:p>
      <w:pPr>
        <w:pStyle w:val="Heading3"/>
      </w:pPr>
      <w:r>
        <w:t xml:space="preserve">В целях сохранения благополучной эпизоотической ситуации по бешенству на территории Южного административного округа государственная ветеринарная служба проводит бесплатную вакцинацию Животных.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drawing>
          <wp:inline>
            <wp:extent cx="5334000" cy="6685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бешенств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8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http://tsaricino.mos.ru/the-state-veterinary-service/detail/12219235.html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2219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2219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2024-08-26T23:45:06Z</dcterms:created>
  <dcterms:modified xsi:type="dcterms:W3CDTF">2024-08-26T23:45:06Z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