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4c08e8debe55ac7f544bda88f95186541ed77"/>
    <w:p>
      <w:pPr>
        <w:pStyle w:val="Heading3"/>
      </w:pPr>
      <w:r>
        <w:t xml:space="preserve">План-график проведения вакцинации против бешенства собак и кошек на прививочных пунктах в Южном административном округе города Москвы в 2024 году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http://tsaricino.mos.ru/the-state-veterinary-service/detail/12055270.html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state-veterinary-service/detail/12055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state-veterinary-service/detail/12055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2024-08-27T16:53:43Z</dcterms:created>
  <dcterms:modified xsi:type="dcterms:W3CDTF">2024-08-27T16:53:43Z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