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авила-содержания-собак-и-кошек"/>
    <w:p>
      <w:pPr>
        <w:pStyle w:val="Heading3"/>
      </w:pPr>
      <w:r>
        <w:t xml:space="preserve">Правила содержания собак и кошек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Выгул%202%20(2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Памятки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наличии вопросов и необходимости получения дополнительной информации в области обращения с домашними животными прошу обращаться в Государственную инспекцию по надзору в области обращения с животными Комитета (г. Москва, ул. Донская, д. 37, к. 3, адрес электронной почты: то8котуе1@пю8.ги, тел.: +7 (495) 633-78-30).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http://tsaricino.mos.ru/the-state-veterinary-service/detail/11420969.html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he-state-veterinary-service/detail/11420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he-state-veterinary-service/detail/11420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2025-03-19T18:24:49Z</dcterms:created>
  <dcterms:modified xsi:type="dcterms:W3CDTF">2025-03-19T18:24:49Z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