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66cc46c4279602c6d169cd525cbd049e5957c"/>
    <w:p>
      <w:pPr>
        <w:pStyle w:val="Heading3"/>
      </w:pPr>
      <w:r>
        <w:t xml:space="preserve">Бесплатная вакцинация животных против бешенства</w:t>
      </w:r>
    </w:p>
    <w:p>
      <w:pPr>
        <w:pStyle w:val="FirstParagraph"/>
      </w:pPr>
      <w:r>
        <w:t xml:space="preserve">21.12.2022</w:t>
      </w:r>
    </w:p>
    <w:p>
      <w:pPr>
        <w:pStyle w:val="BodyText"/>
      </w:pPr>
      <w:r>
        <w:drawing>
          <wp:inline>
            <wp:extent cx="5334000" cy="75493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вакцинация%20животных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9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http://tsaricino.mos.ru/the-state-veterinary-service/detail/11306266.html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he-state-veterinary-service/detail/11306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he-state-veterinary-service/detail/11306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2024-03-09T18:54:38Z</dcterms:created>
  <dcterms:modified xsi:type="dcterms:W3CDTF">2024-03-09T18:54:38Z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