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сторожно-мошенники"/>
    <w:p>
      <w:pPr>
        <w:pStyle w:val="Heading3"/>
      </w:pPr>
      <w:r>
        <w:t xml:space="preserve">Осторожно мошенники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drawing>
          <wp:inline>
            <wp:extent cx="5334000" cy="5385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53053528423972151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5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5189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530305440353366236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18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http://tsaricino.mos.ru/the-commission-on-minors-affairs-and-protection-of-their-rights/obshchaya-informatsi/detail/12811629.html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commission-on-minors-affairs-and-protection-of-their-rights/obshchaya-informatsi/detail/12811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commission-on-minors-affairs-and-protection-of-their-rights/obshchaya-informatsi/detail/12811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2025-03-21T18:27:18Z</dcterms:created>
  <dcterms:modified xsi:type="dcterms:W3CDTF">2025-03-21T18:27:18Z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