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71d4cde52ee0ecfbe16bf7097586c6f4c893303"/>
    <w:p>
      <w:pPr>
        <w:pStyle w:val="Heading3"/>
      </w:pPr>
      <w:r>
        <w:t xml:space="preserve">Департамент труда и социальной защиты населения города Москвы информирует от 05.09.2018</w:t>
      </w:r>
    </w:p>
    <w:p>
      <w:pPr>
        <w:pStyle w:val="FirstParagraph"/>
      </w:pPr>
      <w:r>
        <w:t xml:space="preserve">05.09.2018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http://tsaricino.mos.ru/the-commission-on-minors-affairs-and-protection-of-their-rights/detail/7553219.html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Царицыно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tsaricino.mos.ru" TargetMode="External" /><Relationship Type="http://schemas.openxmlformats.org/officeDocument/2006/relationships/hyperlink" Id="rId20" Target="http://tsaricino.mos.ru/the-commission-on-minors-affairs-and-protection-of-their-rights/detail/755321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tsaricino.mos.ru" TargetMode="External" /><Relationship Type="http://schemas.openxmlformats.org/officeDocument/2006/relationships/hyperlink" Id="rId20" Target="http://tsaricino.mos.ru/the-commission-on-minors-affairs-and-protection-of-their-rights/detail/755321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2025-08-03T08:11:09Z</dcterms:created>
  <dcterms:modified xsi:type="dcterms:W3CDTF">2025-08-03T08:11:09Z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