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92d3a5bae0875f932f9812ee9b6de140af546d"/>
    <w:p>
      <w:pPr>
        <w:pStyle w:val="Heading3"/>
      </w:pPr>
      <w:r>
        <w:t xml:space="preserve">«Безопасность и своевременность – важные условия развития». 25 февраля 2017 года в 12.00. Состоится семинар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drawing>
          <wp:inline>
            <wp:extent cx="5334000" cy="65237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студия%20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3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Полная информация о работе студии здесь: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http://www.studio-anturag.ru/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http://tsaricino.mos.ru/the-commission-on-minors-affairs-and-protection-of-their-rights/detail/4985177.html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he-commission-on-minors-affairs-and-protection-of-their-rights/detail/4985177.html" TargetMode="External" /><Relationship Type="http://schemas.openxmlformats.org/officeDocument/2006/relationships/hyperlink" Id="rId23" Target="http://www.studio-antura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he-commission-on-minors-affairs-and-protection-of-their-rights/detail/4985177.html" TargetMode="External" /><Relationship Type="http://schemas.openxmlformats.org/officeDocument/2006/relationships/hyperlink" Id="rId23" Target="http://www.studio-antura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2023-09-26T19:15:35Z</dcterms:created>
  <dcterms:modified xsi:type="dcterms:W3CDTF">2023-09-26T19:15:35Z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