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6750bcdfbbe0bd963c824dda48fe754652eda"/>
    <w:p>
      <w:pPr>
        <w:pStyle w:val="Heading3"/>
      </w:pPr>
      <w:r>
        <w:t xml:space="preserve">Академия ГПС МЧС России: объявляет о наборе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hyperlink r:id="rId20">
        <w:r>
          <w:rPr>
            <w:rStyle w:val="Hyperlink"/>
          </w:rPr>
          <w:t xml:space="preserve">Академия ГПС МЧС России: объявляет о наборе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http://tsaricino.mos.ru/safety-and-security/gochs-i-pb-informiuet/detail/12826913.html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kademiya-GPS-MChS-Rossii-obuyavlyaet-o-nabore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82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kademiya-GPS-MChS-Rossii-obuyavlyaet-o-nabore.pdf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82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2025-02-26T16:04:17Z</dcterms:created>
  <dcterms:modified xsi:type="dcterms:W3CDTF">2025-02-26T16:04:17Z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