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c7286bcfc427797bb73567615f03a805cef730"/>
    <w:p>
      <w:pPr>
        <w:pStyle w:val="Heading3"/>
      </w:pPr>
      <w:r>
        <w:t xml:space="preserve">Памятка Правила безопасности при использовании пиротехники</w:t>
      </w:r>
    </w:p>
    <w:p>
      <w:pPr>
        <w:pStyle w:val="FirstParagraph"/>
      </w:pPr>
      <w:r>
        <w:t xml:space="preserve">26.11.2024</w:t>
      </w:r>
    </w:p>
    <w:p>
      <w:pPr>
        <w:pStyle w:val="BodyText"/>
      </w:pPr>
      <w:r>
        <w:drawing>
          <wp:inline>
            <wp:extent cx="5334000" cy="75419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6.%20Памятка%20Правила%20безопасности%20при%20использовании%20пиротехники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19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http://tsaricino.mos.ru/safety-and-security/gochs-i-pb-informiuet/detail/12687315.html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safety-and-security/gochs-i-pb-informiuet/detail/12687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safety-and-security/gochs-i-pb-informiuet/detail/12687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2025-08-03T18:02:33Z</dcterms:created>
  <dcterms:modified xsi:type="dcterms:W3CDTF">2025-08-03T18:02:33Z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