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bin" ContentType="application/octet-stream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2dd3d697d805278876d6920bdb98e441950bd3"/>
    <w:p>
      <w:pPr>
        <w:pStyle w:val="Heading3"/>
      </w:pPr>
      <w:r>
        <w:t xml:space="preserve">Заключение по проекту межевания квартала, ограниченного: Пролетарским проспектом, Кавказским бульваром, улицей Кантемировская.</w:t>
      </w:r>
    </w:p>
    <w:p>
      <w:pPr>
        <w:pStyle w:val="FirstParagraph"/>
      </w:pPr>
      <w:r>
        <w:t xml:space="preserve">12.11.2015</w:t>
      </w:r>
    </w:p>
    <w:p>
      <w:pPr>
        <w:pStyle w:val="BodyText"/>
      </w:pPr>
      <w:r>
        <w:drawing>
          <wp:inline>
            <wp:extent cx="3033728" cy="12936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ps.png3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728" cy="12936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http://tsaricino.mos.ru/public-hearings-public-comment/conclusion-according-to-the-results-of-public-hearings/detail/2296989.html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bin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ublic-hearings-public-comment/conclusion-according-to-the-results-of-public-hearings/detail/2296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ublic-hearings-public-comment/conclusion-according-to-the-results-of-public-hearings/detail/2296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2025-08-05T06:32:17Z</dcterms:created>
  <dcterms:modified xsi:type="dcterms:W3CDTF">2025-08-05T06:32:17Z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