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669d030eab9b5e6906177151c98c39a1e1c08"/>
    <w:p>
      <w:pPr>
        <w:pStyle w:val="Heading3"/>
      </w:pPr>
      <w:r>
        <w:t xml:space="preserve">Заключение по проекту межевания квартала, ограниченного улицами: Тимуровская, Веселая, Товарищеская, Севанская, Бакинская.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drawing>
          <wp:inline>
            <wp:extent cx="3033728" cy="12936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ps.png1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728" cy="12936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http://tsaricino.mos.ru/public-hearings-public-comment/conclusion-according-to-the-results-of-public-hearings/detail/2296962.html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in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hearings-public-comment/conclusion-according-to-the-results-of-public-hearings/detail/2296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hearings-public-comment/conclusion-according-to-the-results-of-public-hearings/detail/2296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2023-09-26T17:36:01Z</dcterms:created>
  <dcterms:modified xsi:type="dcterms:W3CDTF">2023-09-26T17:36:01Z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