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dd4943b1e4e4811ff043fd7661035763a6b9a7"/>
    <w:p>
      <w:pPr>
        <w:pStyle w:val="Heading3"/>
      </w:pPr>
      <w:r>
        <w:t xml:space="preserve">Инструкция о порядке сбора, хранения и транспортирования ртутьсодержащих отходов на утилизацию.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  <w:r>
        <w:drawing>
          <wp:inline>
            <wp:extent cx="5334000" cy="37480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1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8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75136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20%20(1)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51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224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30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4295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saricino.mos.ru/www/40000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29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http://tsaricino.mos.ru/housing-and-utilities-landscaping/energy-saving/detail/8090982.html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housing-and-utilities-landscaping/energy-saving/detail/8090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housing-and-utilities-landscaping/energy-saving/detail/8090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2023-09-26T16:21:49Z</dcterms:created>
  <dcterms:modified xsi:type="dcterms:W3CDTF">2023-09-26T16:21:49Z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