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17361d1a2ea0989d9437b01c0d9b52da3dd32"/>
    <w:p>
      <w:pPr>
        <w:pStyle w:val="Heading3"/>
      </w:pPr>
      <w:r>
        <w:t xml:space="preserve">Закон г. Москвы от 6 июля 2005 г. № 38 «Избирательный кодекс города Москвы»</w:t>
      </w:r>
    </w:p>
    <w:p>
      <w:pPr>
        <w:pStyle w:val="FirstParagraph"/>
      </w:pPr>
      <w:r>
        <w:t xml:space="preserve">19.07.2017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Закон г. Москвы от 6 июля 2005 г. № 38 «Избирательный кодекс города Москвы»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http://tsaricino.mos.ru/elections/the-schedule-of-work-of-the-tec-district/detail/6502741.html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ity-parking/paid-city-parking-on-the-street/ZM_38.pdf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lections/the-schedule-of-work-of-the-tec-district/detail/6502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ity-parking/paid-city-parking-on-the-street/ZM_38.pdf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lections/the-schedule-of-work-of-the-tec-district/detail/6502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2025-03-18T10:00:04Z</dcterms:created>
  <dcterms:modified xsi:type="dcterms:W3CDTF">2025-03-18T10:00:04Z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