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60b68bcaa1f47c7f8ad114daea5c60621c106a"/>
    <w:p>
      <w:pPr>
        <w:pStyle w:val="Heading3"/>
      </w:pPr>
      <w:r>
        <w:t xml:space="preserve">Центр оперативной поддержки предпринимателей на базе Общественной приемной Уполномоченного по защите прав предпринимателей в городе Москве</w:t>
      </w:r>
    </w:p>
    <w:p>
      <w:pPr>
        <w:pStyle w:val="FirstParagraph"/>
      </w:pPr>
      <w:r>
        <w:t xml:space="preserve">16.01.2023</w:t>
      </w:r>
    </w:p>
    <w:p>
      <w:pPr>
        <w:pStyle w:val="BodyText"/>
      </w:pPr>
      <w:r>
        <w:drawing>
          <wp:inline>
            <wp:extent cx="5334000" cy="17630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Баннер%20ЦОПП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 нуждающиеся в юридической помощи, могут проконсультироваться по ссылке </w:t>
      </w:r>
      <w:hyperlink r:id="rId23">
        <w:r>
          <w:rPr>
            <w:rStyle w:val="Hyperlink"/>
          </w:rPr>
          <w:t xml:space="preserve">https://matyuninspartners.ru/copp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http://tsaricino.mos.ru/economics-and-consumer-ryno/subektam-malogo-i-srednego-predprinimatelstva/zashchita-pra/detail/11346009.html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economics-and-consumer-ryno/subektam-malogo-i-srednego-predprinimatelstva/zashchita-pra/detail/11346009.html" TargetMode="External" /><Relationship Type="http://schemas.openxmlformats.org/officeDocument/2006/relationships/hyperlink" Id="rId23" Target="https://matyuninspartners.ru/cop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economics-and-consumer-ryno/subektam-malogo-i-srednego-predprinimatelstva/zashchita-pra/detail/11346009.html" TargetMode="External" /><Relationship Type="http://schemas.openxmlformats.org/officeDocument/2006/relationships/hyperlink" Id="rId23" Target="https://matyuninspartners.ru/cop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2023-09-26T17:18:16Z</dcterms:created>
  <dcterms:modified xsi:type="dcterms:W3CDTF">2023-09-26T17:18:16Z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