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нлайн-сервис-по-экспресс-оценке-бизнеса"/>
    <w:p>
      <w:pPr>
        <w:pStyle w:val="Heading3"/>
      </w:pPr>
      <w:r>
        <w:t xml:space="preserve">Онлайн-сервис по экспресс-оценке бизнеса</w:t>
      </w:r>
    </w:p>
    <w:p>
      <w:pPr>
        <w:pStyle w:val="FirstParagraph"/>
      </w:pPr>
      <w:r>
        <w:t xml:space="preserve">25.04.2025</w:t>
      </w:r>
    </w:p>
    <w:p>
      <w:pPr>
        <w:pStyle w:val="BodyText"/>
      </w:pPr>
      <w:r>
        <w:t xml:space="preserve">В Москве в рамках нацпроекта «Малое и среднее предпринимательство» запущен онлайн-сервис по экспресс-оценке бизнеса.</w:t>
      </w:r>
    </w:p>
    <w:p>
      <w:pPr>
        <w:pStyle w:val="BodyText"/>
      </w:pPr>
      <w:r>
        <w:t xml:space="preserve">Онлайн-сервис размещен на сайте Московского гарантийного фонда и доступен по следующей ссылке: https://www.fskmb.ru/funding/</w:t>
      </w:r>
    </w:p>
    <w:p>
      <w:pPr>
        <w:pStyle w:val="BodyText"/>
      </w:pPr>
      <w:r>
        <w:t xml:space="preserve">Онлайн-сервис полезен, если вы собираетесь обратиться в банк за кредитом или факторингом, получить банковскую гарантию, открыть аккредитивный счёт или оформить лизинг.</w:t>
      </w:r>
    </w:p>
    <w:p>
      <w:pPr>
        <w:pStyle w:val="BodyText"/>
      </w:pPr>
      <w:r>
        <w:t xml:space="preserve">Предпринимателю нужно зайти на сайт Московского гарантийного фонда в раздел «Бизнесу» и выбрать опцию «Запросить скоринг». На открывшейся странице необходимо указать, какой тип займа ему требуется, уточнить цели и объем финансирования. Данные о компании и ее деятельности заполнятся автоматически из аналитических источников. В случае необходимости эти сведения можно будет указать самостоятельно.</w:t>
      </w:r>
    </w:p>
    <w:p>
      <w:pPr>
        <w:pStyle w:val="BodyText"/>
      </w:pPr>
      <w:r>
        <w:t xml:space="preserve">Обработка заявки займет несколько минут. Электронный отчет появится на экране. В нем будут перечислены основные факторы, которые влияют на финансовую устойчивость компании. Среди них такие параметры, как отраслевые риски, своевременность уплаты налогов и заработной платы, соблюдение правил участия в закупках и многие другие. Отчет можно будет выгрузить и сохранить у себя на компьютере.</w:t>
      </w:r>
    </w:p>
    <w:p>
      <w:pPr>
        <w:pStyle w:val="BodyText"/>
      </w:pPr>
      <w:r>
        <w:t xml:space="preserve">По результатам оценки бизнесмену также предложат узнать о городских мерах поддержки, на которые может претендовать его компания. Сервис автоматически составит для него подборку грантов и льготных программ. Она откроется в новом окне.</w:t>
      </w:r>
    </w:p>
    <w:p>
      <w:pPr>
        <w:pStyle w:val="BodyText"/>
      </w:pPr>
      <w:r>
        <w:t xml:space="preserve">Кроме того, предпринимателям предложат задать вопросы специалистам сервиса или оставить заявку на получение поручительства Московского гарантийного фонда. Все эти услуги можно оформить онлайн на сайте. Их оказывают бесплатно.</w:t>
      </w:r>
    </w:p>
    <w:p>
      <w:pPr>
        <w:pStyle w:val="BodyText"/>
      </w:pPr>
      <w:r>
        <w:rPr>
          <w:iCs/>
          <w:i/>
        </w:rPr>
        <w:t xml:space="preserve">Источники информации: официальный сайт Мэра Москвы https://www.mos.ru/news/item/145049073/, телеграм-канал Департамента предпринимательства и инновационного развития Москвы «Предпринимай!»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http://tsaricino.mos.ru/economics-and-consumer-ryno/subektam-malogo-i-srednego-predprinimatelstva/konsultatsionnaya-podderzhka/detail/12936428.html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subektam-malogo-i-srednego-predprinimatelstva/konsultatsionnaya-podderzhka/detail/129364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subektam-malogo-i-srednego-predprinimatelstva/konsultatsionnaya-podderzhka/detail/129364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2025-04-25T11:47:00Z</dcterms:created>
  <dcterms:modified xsi:type="dcterms:W3CDTF">2025-04-25T11:47:00Z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