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79032d3dbe027749269c62d8e0fc2ecadffbf"/>
    <w:p>
      <w:pPr>
        <w:pStyle w:val="Heading3"/>
      </w:pPr>
      <w:r>
        <w:t xml:space="preserve">Департаментом городского имущества г. Москвы актуализован перечень государственного имущества, свободного от прав третьих лиц, предоставляемого субъектам малого и среднего предпринимательства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На официальном сайте Департамента городского имущества города Москвы 03.11.2022 размещен актуальный 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 г.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http://tsaricino.mos.ru/economics-and-consumer-ryno/subektam-malogo-i-srednego-predprinimatelstva/imushchestvennaya-podderzhka/detail/11224986.html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imushchestvennaya-podderzhka/detail/1122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imushchestvennaya-podderzhka/detail/1122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2024-08-14T18:11:58Z</dcterms:created>
  <dcterms:modified xsi:type="dcterms:W3CDTF">2024-08-14T18:11:58Z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