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6" w:name="X45b6623fc0758ee7dfc1a8ec2412cbf049723b3"/>
    <w:p>
      <w:pPr>
        <w:pStyle w:val="Heading3"/>
      </w:pPr>
      <w:r>
        <w:t xml:space="preserve">"Активный гражданин" приглашает москвичей 21 мая на свой день рождения</w:t>
      </w:r>
    </w:p>
    <w:p>
      <w:pPr>
        <w:pStyle w:val="FirstParagraph"/>
      </w:pPr>
      <w:r>
        <w:t xml:space="preserve">20.05.2016</w:t>
      </w:r>
    </w:p>
    <w:p>
      <w:pPr>
        <w:pStyle w:val="BodyText"/>
      </w:pPr>
      <w:r>
        <w:drawing>
          <wp:inline>
            <wp:extent cx="5334000" cy="3533775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tsaricino.mos.ru/www/upload/medialibrary/b6a/ss2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337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В Москве организуют масштабный праздник, посвященный двухлетию проекта «Активный гражданин». Мероприятия пройдут 21 мая на нескольких площадках города.</w:t>
      </w:r>
    </w:p>
    <w:p>
      <w:pPr>
        <w:pStyle w:val="BodyText"/>
      </w:pPr>
      <w:r>
        <w:t xml:space="preserve">Девизом праздника станет фраза «Зарядись, узнай, отдохни и попробуй на вкус». В нем смогут принять участие как уже зарегистрированные пользователи, так и новые участники проекта.</w:t>
      </w:r>
    </w:p>
    <w:p>
      <w:pPr>
        <w:pStyle w:val="BodyText"/>
      </w:pPr>
      <w:r>
        <w:t xml:space="preserve">Добавим, что за два года существования проекта в Москве было проведено более 1,7 тысяч голосований и опросов. Жители могли самостоятельно влиять на выбор улиц и площадок для благоустройства, определять транспортные маршруты и сервисы.</w:t>
      </w:r>
    </w:p>
    <w:p>
      <w:pPr>
        <w:pStyle w:val="BodyText"/>
      </w:pPr>
      <w:r>
        <w:t xml:space="preserve">В день рождения проекта в Москве состоятся бесплатные мероприятия и развлечения в крупнейших парках столицы.</w:t>
      </w:r>
    </w:p>
    <w:p>
      <w:pPr>
        <w:pStyle w:val="BodyText"/>
      </w:pPr>
      <w:r>
        <w:rPr>
          <w:iCs/>
          <w:i/>
        </w:rPr>
        <w:t xml:space="preserve">Фото:</w:t>
      </w:r>
      <w:r>
        <w:rPr>
          <w:iCs/>
          <w:i/>
        </w:rPr>
        <w:t xml:space="preserve"> </w:t>
      </w:r>
      <w:hyperlink r:id="rId23">
        <w:r>
          <w:rPr>
            <w:rStyle w:val="Hyperlink"/>
            <w:iCs/>
            <w:i/>
          </w:rPr>
          <w:t xml:space="preserve">Агентство городских новостей «Москва»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4">
        <w:r>
          <w:rPr>
            <w:rStyle w:val="Hyperlink"/>
          </w:rPr>
          <w:t xml:space="preserve">http://tsaricino.mos.ru/active-citizen/detail/2982883.html</w:t>
        </w:r>
      </w:hyperlink>
    </w:p>
    <w:p>
      <w:pPr>
        <w:pStyle w:val="BodyText"/>
      </w:pPr>
      <w:hyperlink r:id="rId25">
        <w:r>
          <w:rPr>
            <w:rStyle w:val="Hyperlink"/>
          </w:rPr>
          <w:t xml:space="preserve">Управа района Царицыно города Москвы</w:t>
        </w:r>
      </w:hyperlink>
    </w:p>
    <w:bookmarkEnd w:id="2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5" Target="http://tsaricino.mos.ru" TargetMode="External" /><Relationship Type="http://schemas.openxmlformats.org/officeDocument/2006/relationships/hyperlink" Id="rId24" Target="http://tsaricino.mos.ru/active-citizen/detail/2982883.html" TargetMode="External" /><Relationship Type="http://schemas.openxmlformats.org/officeDocument/2006/relationships/hyperlink" Id="rId23" Target="http://www.mskagency.ru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5" Target="http://tsaricino.mos.ru" TargetMode="External" /><Relationship Type="http://schemas.openxmlformats.org/officeDocument/2006/relationships/hyperlink" Id="rId24" Target="http://tsaricino.mos.ru/active-citizen/detail/2982883.html" TargetMode="External" /><Relationship Type="http://schemas.openxmlformats.org/officeDocument/2006/relationships/hyperlink" Id="rId23" Target="http://www.mskagency.ru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2024-08-27T18:04:38Z</dcterms:created>
  <dcterms:modified xsi:type="dcterms:W3CDTF">2024-08-27T18:04:38Z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