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353bef93f630664ee670a09937db4b6a6e243"/>
    <w:p>
      <w:pPr>
        <w:pStyle w:val="Heading3"/>
      </w:pPr>
      <w:r>
        <w:t xml:space="preserve">Анастасия Ракова пообещала дальнейшее развитие системы "Активный гражданин"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drawing>
          <wp:inline>
            <wp:extent cx="5334000" cy="36137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bd2/rak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37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Электронный референдум «Активный гражданин» продолжит развиваться. Одним из следующих этапов станет проведение лекций для участников проекта заместителями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например, жителям Москвы уже в ближайшие дни станет доступна запись на лекции Максима Ликсутова и Леонида Печатникова.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Речь о проведении открытых лекций зашла в ходе VII Московского гражданского форума. Одной из секций форума стало «Электронное правительство: общение власти и населения».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этой секции выступила руководитель аппарата мэра и правительства Москвы Анастасия Ракова, высказав надежды на то, что система открытых лекций будет востребована у горожан.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http://tsaricino.mos.ru/active-citizen/detail/2343111.html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343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343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2024-08-27T06:48:26Z</dcterms:created>
  <dcterms:modified xsi:type="dcterms:W3CDTF">2024-08-27T06:48:26Z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