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етодика-проведения-служебных-проверок"/>
    <w:p>
      <w:pPr>
        <w:pStyle w:val="Heading3"/>
      </w:pPr>
      <w:r>
        <w:t xml:space="preserve">Методика проведения служебных проверок</w:t>
      </w:r>
    </w:p>
    <w:p>
      <w:pPr>
        <w:pStyle w:val="FirstParagraph"/>
      </w:pPr>
      <w:r>
        <w:t xml:space="preserve">17.01.2014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http://tsaricino.mos.ru/about/stateservice/detail/927841.html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Царицыно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saricino.mos.ru" TargetMode="External" /><Relationship Type="http://schemas.openxmlformats.org/officeDocument/2006/relationships/hyperlink" Id="rId20" Target="http://tsaricino.mos.ru/about/stateservice/detail/9278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saricino.mos.ru" TargetMode="External" /><Relationship Type="http://schemas.openxmlformats.org/officeDocument/2006/relationships/hyperlink" Id="rId20" Target="http://tsaricino.mos.ru/about/stateservice/detail/9278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2024-10-03T08:59:12Z</dcterms:created>
  <dcterms:modified xsi:type="dcterms:W3CDTF">2024-10-03T08:59:12Z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