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060aa36fbe325c3ff401a7349deae3da83453"/>
    <w:p>
      <w:pPr>
        <w:pStyle w:val="Heading3"/>
      </w:pPr>
      <w:r>
        <w:t xml:space="preserve">Распоряжения мэра Москвы от 15 февраля 2021 г. №75-УМ "Об утверждении Плана противодействия коррупции в городе Москве на 2021-2023 годы"</w:t>
      </w:r>
    </w:p>
    <w:p>
      <w:pPr>
        <w:pStyle w:val="FirstParagraph"/>
      </w:pPr>
      <w:r>
        <w:t xml:space="preserve">24.02.2021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http://tsaricino.mos.ru/about/about-the-district/normative-legal-and-other-acts-in-the-sphere-of-counteraction-of-corruption/detail/9736290.html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about/about-the-district/normative-legal-and-other-acts-in-the-sphere-of-counteraction-of-corruption/detail/97362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about/about-the-district/normative-legal-and-other-acts-in-the-sphere-of-counteraction-of-corruption/detail/97362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2025-08-03T03:05:34Z</dcterms:created>
  <dcterms:modified xsi:type="dcterms:W3CDTF">2025-08-03T03:05:34Z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