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dd64c33ca230b2d49da3f176d245f1b28e37"/>
    <w:p>
      <w:pPr>
        <w:pStyle w:val="Heading3"/>
      </w:pPr>
      <w:r>
        <w:t xml:space="preserve">Распоряжение Правительства Москвы от 11 апреля 2011 № 266-РП«О порядке передачи подарков, полученных в связи с протокольными мероприятиями, служебными командировками и другими официальными мероприятиями»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http://tsaricino.mos.ru/about/about-the-district/normative-legal-and-other-acts-in-the-sphere-of-counteraction-of-corruption/detail/1022467.html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2024-01-27T08:29:43Z</dcterms:created>
  <dcterms:modified xsi:type="dcterms:W3CDTF">2024-01-27T08:29:43Z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