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671601ead521602122a5c90d57575e4efa267"/>
    <w:p>
      <w:pPr>
        <w:pStyle w:val="Heading3"/>
      </w:pPr>
      <w:r>
        <w:t xml:space="preserve">Правила уведомления представителя нанимателя – главы управы района Царицыно города Москвы обо всех случаях обращения к гражданскому служащему управы района с целью склонения его к совершению коррупционных правонарушений</w:t>
      </w:r>
    </w:p>
    <w:p>
      <w:pPr>
        <w:pStyle w:val="FirstParagraph"/>
      </w:pPr>
      <w:r>
        <w:t xml:space="preserve">20.05.2014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http://tsaricino.mos.ru/about/about-the-district/methodical-materials/detail/1046355.html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methodical-materials/detail/1046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methodical-materials/detail/1046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2025-06-02T05:14:56Z</dcterms:created>
  <dcterms:modified xsi:type="dcterms:W3CDTF">2025-06-02T05:14:56Z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