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7876a0352f8b3a2c14e58659b0a4557238b54"/>
    <w:p>
      <w:pPr>
        <w:pStyle w:val="Heading3"/>
      </w:pPr>
      <w:r>
        <w:t xml:space="preserve">Об утверждении Порядка проведения антикоррупционной экспертизы нормативных правовых актов и проектов нормативных правовых актов управы района Царицыно города Москвы</w:t>
      </w:r>
    </w:p>
    <w:p>
      <w:pPr>
        <w:pStyle w:val="FirstParagraph"/>
      </w:pPr>
      <w:r>
        <w:t xml:space="preserve">11.12.2014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http://tsaricino.mos.ru/about/about-the-district/detail/1463309.html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Царицыно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saricino.mos.ru" TargetMode="External" /><Relationship Type="http://schemas.openxmlformats.org/officeDocument/2006/relationships/hyperlink" Id="rId20" Target="http://tsaricino.mos.ru/about/about-the-district/detail/14633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saricino.mos.ru" TargetMode="External" /><Relationship Type="http://schemas.openxmlformats.org/officeDocument/2006/relationships/hyperlink" Id="rId20" Target="http://tsaricino.mos.ru/about/about-the-district/detail/14633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2025-08-03T05:12:04Z</dcterms:created>
  <dcterms:modified xsi:type="dcterms:W3CDTF">2025-08-03T05:12:04Z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